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2DC" w:rsidRPr="00AE0827" w:rsidRDefault="001472DC" w:rsidP="001472DC">
      <w:pPr>
        <w:jc w:val="both"/>
        <w:rPr>
          <w:rFonts w:ascii="Times New Roman" w:hAnsi="Times New Roman" w:cs="Times New Roman"/>
          <w:b/>
          <w:sz w:val="28"/>
          <w:szCs w:val="28"/>
        </w:rPr>
      </w:pPr>
      <w:r w:rsidRPr="00AE0827">
        <w:rPr>
          <w:rFonts w:ascii="Times New Roman" w:hAnsi="Times New Roman" w:cs="Times New Roman"/>
          <w:b/>
          <w:sz w:val="28"/>
          <w:szCs w:val="28"/>
        </w:rPr>
        <w:t>Những chính sách nổi bật có hiệu lực trong tháng 01/2024</w:t>
      </w:r>
    </w:p>
    <w:p w:rsidR="001472DC" w:rsidRPr="00AE0827" w:rsidRDefault="001472DC" w:rsidP="001472DC">
      <w:pPr>
        <w:jc w:val="both"/>
        <w:rPr>
          <w:rFonts w:ascii="Times New Roman" w:hAnsi="Times New Roman" w:cs="Times New Roman"/>
          <w:b/>
          <w:sz w:val="28"/>
          <w:szCs w:val="28"/>
        </w:rPr>
      </w:pPr>
      <w:proofErr w:type="gramStart"/>
      <w:r w:rsidRPr="001472DC">
        <w:rPr>
          <w:rFonts w:ascii="Times New Roman" w:hAnsi="Times New Roman" w:cs="Times New Roman"/>
          <w:b/>
          <w:sz w:val="28"/>
          <w:szCs w:val="28"/>
        </w:rPr>
        <w:t>1.</w:t>
      </w:r>
      <w:r w:rsidRPr="001472DC">
        <w:rPr>
          <w:rFonts w:ascii="Times New Roman" w:hAnsi="Times New Roman" w:cs="Times New Roman"/>
          <w:b/>
          <w:sz w:val="28"/>
          <w:szCs w:val="28"/>
        </w:rPr>
        <w:t>Quy</w:t>
      </w:r>
      <w:proofErr w:type="gramEnd"/>
      <w:r w:rsidRPr="001472DC">
        <w:rPr>
          <w:rFonts w:ascii="Times New Roman" w:hAnsi="Times New Roman" w:cs="Times New Roman"/>
          <w:b/>
          <w:sz w:val="28"/>
          <w:szCs w:val="28"/>
        </w:rPr>
        <w:t xml:space="preserve"> định mới về phát hành riêng lẻ trái phiếu Chính phủ</w:t>
      </w:r>
    </w:p>
    <w:p w:rsidR="001472DC" w:rsidRPr="001472DC" w:rsidRDefault="001472DC" w:rsidP="001472DC">
      <w:pPr>
        <w:jc w:val="both"/>
        <w:rPr>
          <w:rFonts w:ascii="Times New Roman" w:hAnsi="Times New Roman" w:cs="Times New Roman"/>
          <w:sz w:val="28"/>
          <w:szCs w:val="28"/>
        </w:rPr>
      </w:pPr>
      <w:r w:rsidRPr="001472DC">
        <w:rPr>
          <w:rFonts w:ascii="Times New Roman" w:hAnsi="Times New Roman" w:cs="Times New Roman"/>
          <w:sz w:val="28"/>
          <w:szCs w:val="28"/>
        </w:rPr>
        <w:t>Chính phủ ban hành Nghị định số 83/2023/NĐ-CP sửa đổi, bổ sung một số điều của Nghị định số 95/2018/NĐ-CP ngày 30/6/2018 về phát hành, đăng ký, lưu ký, niêm yết và giao dịch công cụ nợ của Chính phủ trên thị trường chứng khoán. Trong đó, Nghị định số 83/2023/NĐ-CP sửa đổi, bổ sung Điều 17 Phát hành riêng lẻ trái phiếu Chính phủ</w:t>
      </w:r>
      <w:r w:rsidR="00AE0827">
        <w:rPr>
          <w:rFonts w:ascii="Times New Roman" w:hAnsi="Times New Roman" w:cs="Times New Roman"/>
          <w:sz w:val="28"/>
          <w:szCs w:val="28"/>
        </w:rPr>
        <w:t xml:space="preserve"> như sau:</w:t>
      </w:r>
    </w:p>
    <w:p w:rsidR="001472DC" w:rsidRPr="001472DC" w:rsidRDefault="001472DC" w:rsidP="001472DC">
      <w:pPr>
        <w:jc w:val="both"/>
        <w:rPr>
          <w:rFonts w:ascii="Times New Roman" w:hAnsi="Times New Roman" w:cs="Times New Roman"/>
          <w:sz w:val="28"/>
          <w:szCs w:val="28"/>
        </w:rPr>
      </w:pPr>
      <w:r w:rsidRPr="001472DC">
        <w:rPr>
          <w:rFonts w:ascii="Times New Roman" w:hAnsi="Times New Roman" w:cs="Times New Roman"/>
          <w:sz w:val="28"/>
          <w:szCs w:val="28"/>
        </w:rPr>
        <w:t>Phát hành riêng lẻ là phương thức bán trực tiếp trái phiếu Chính phủ cho từng đối tượng mua hoặc lựa chọn ngân hàng thương mại, chi nhánh ngân hàng nước ngoài làm đại lý phân phối và thanh toán trái phiếu Chính phủ (đại lý phân phối) cho đối tượ</w:t>
      </w:r>
      <w:r w:rsidR="00AE0827">
        <w:rPr>
          <w:rFonts w:ascii="Times New Roman" w:hAnsi="Times New Roman" w:cs="Times New Roman"/>
          <w:sz w:val="28"/>
          <w:szCs w:val="28"/>
        </w:rPr>
        <w:t>ng mua.</w:t>
      </w:r>
    </w:p>
    <w:p w:rsidR="001472DC" w:rsidRPr="001472DC" w:rsidRDefault="001472DC" w:rsidP="001472DC">
      <w:pPr>
        <w:jc w:val="both"/>
        <w:rPr>
          <w:rFonts w:ascii="Times New Roman" w:hAnsi="Times New Roman" w:cs="Times New Roman"/>
          <w:sz w:val="28"/>
          <w:szCs w:val="28"/>
        </w:rPr>
      </w:pPr>
      <w:r w:rsidRPr="001472DC">
        <w:rPr>
          <w:rFonts w:ascii="Times New Roman" w:hAnsi="Times New Roman" w:cs="Times New Roman"/>
          <w:sz w:val="28"/>
          <w:szCs w:val="28"/>
        </w:rPr>
        <w:t xml:space="preserve">Kho bạc Nhà nước xây dựng phương án phát hành trái phiếu Chính phủ </w:t>
      </w:r>
      <w:proofErr w:type="gramStart"/>
      <w:r w:rsidRPr="001472DC">
        <w:rPr>
          <w:rFonts w:ascii="Times New Roman" w:hAnsi="Times New Roman" w:cs="Times New Roman"/>
          <w:sz w:val="28"/>
          <w:szCs w:val="28"/>
        </w:rPr>
        <w:t>theo</w:t>
      </w:r>
      <w:proofErr w:type="gramEnd"/>
      <w:r w:rsidRPr="001472DC">
        <w:rPr>
          <w:rFonts w:ascii="Times New Roman" w:hAnsi="Times New Roman" w:cs="Times New Roman"/>
          <w:sz w:val="28"/>
          <w:szCs w:val="28"/>
        </w:rPr>
        <w:t xml:space="preserve"> phương thức riêng lẻ báo cáo Bộ Tài chính chấp thuận. Phương án phát hành riêng lẻ bao gồm các nội dung cơ bản sau: Đối tượng mua trái phiếu; Khối lượng dự kiến phát hành; Kỳ hạn trái phiếu; Lãi suất dự kiến; Thời gian dự kiến phát hành; Dự kiến hình thức phát hành riêng lẻ (Kho bạc Nhà nước phát hành trực tiếp hoặc lựa chọn đạ</w:t>
      </w:r>
      <w:r w:rsidR="00AE0827">
        <w:rPr>
          <w:rFonts w:ascii="Times New Roman" w:hAnsi="Times New Roman" w:cs="Times New Roman"/>
          <w:sz w:val="28"/>
          <w:szCs w:val="28"/>
        </w:rPr>
        <w:t xml:space="preserve">i </w:t>
      </w:r>
      <w:r w:rsidRPr="001472DC">
        <w:rPr>
          <w:rFonts w:ascii="Times New Roman" w:hAnsi="Times New Roman" w:cs="Times New Roman"/>
          <w:sz w:val="28"/>
          <w:szCs w:val="28"/>
        </w:rPr>
        <w:t>lý phân phố</w:t>
      </w:r>
      <w:r w:rsidR="00AE0827">
        <w:rPr>
          <w:rFonts w:ascii="Times New Roman" w:hAnsi="Times New Roman" w:cs="Times New Roman"/>
          <w:sz w:val="28"/>
          <w:szCs w:val="28"/>
        </w:rPr>
        <w:t>i).</w:t>
      </w:r>
    </w:p>
    <w:p w:rsidR="001472DC" w:rsidRPr="001472DC" w:rsidRDefault="001472DC" w:rsidP="001472DC">
      <w:pPr>
        <w:jc w:val="both"/>
        <w:rPr>
          <w:rFonts w:ascii="Times New Roman" w:hAnsi="Times New Roman" w:cs="Times New Roman"/>
          <w:sz w:val="28"/>
          <w:szCs w:val="28"/>
        </w:rPr>
      </w:pPr>
      <w:r w:rsidRPr="001472DC">
        <w:rPr>
          <w:rFonts w:ascii="Times New Roman" w:hAnsi="Times New Roman" w:cs="Times New Roman"/>
          <w:sz w:val="28"/>
          <w:szCs w:val="28"/>
        </w:rPr>
        <w:t xml:space="preserve">Bộ Tài chính chấp thuận phương án phát hành riêng lẻ trái phiếu Chính phủ </w:t>
      </w:r>
      <w:proofErr w:type="gramStart"/>
      <w:r w:rsidRPr="001472DC">
        <w:rPr>
          <w:rFonts w:ascii="Times New Roman" w:hAnsi="Times New Roman" w:cs="Times New Roman"/>
          <w:sz w:val="28"/>
          <w:szCs w:val="28"/>
        </w:rPr>
        <w:t>theo</w:t>
      </w:r>
      <w:proofErr w:type="gramEnd"/>
      <w:r w:rsidRPr="001472DC">
        <w:rPr>
          <w:rFonts w:ascii="Times New Roman" w:hAnsi="Times New Roman" w:cs="Times New Roman"/>
          <w:sz w:val="28"/>
          <w:szCs w:val="28"/>
        </w:rPr>
        <w:t xml:space="preserve"> các nội dung quy đị</w:t>
      </w:r>
      <w:r w:rsidR="00AE0827">
        <w:rPr>
          <w:rFonts w:ascii="Times New Roman" w:hAnsi="Times New Roman" w:cs="Times New Roman"/>
          <w:sz w:val="28"/>
          <w:szCs w:val="28"/>
        </w:rPr>
        <w:t>nh trên.</w:t>
      </w:r>
    </w:p>
    <w:p w:rsidR="001472DC" w:rsidRPr="001472DC" w:rsidRDefault="001472DC" w:rsidP="001472DC">
      <w:pPr>
        <w:jc w:val="both"/>
        <w:rPr>
          <w:rFonts w:ascii="Times New Roman" w:hAnsi="Times New Roman" w:cs="Times New Roman"/>
          <w:sz w:val="28"/>
          <w:szCs w:val="28"/>
        </w:rPr>
      </w:pPr>
      <w:r w:rsidRPr="001472DC">
        <w:rPr>
          <w:rFonts w:ascii="Times New Roman" w:hAnsi="Times New Roman" w:cs="Times New Roman"/>
          <w:sz w:val="28"/>
          <w:szCs w:val="28"/>
        </w:rPr>
        <w:t>Ngoài ra, Nghị định số 83/2023/NĐ-CP cũng sửa đổi, bổ sung khoản 2, 3 Điều 22 về trái phiếu ngoại tệ</w:t>
      </w:r>
      <w:r w:rsidR="00AE0827">
        <w:rPr>
          <w:rFonts w:ascii="Times New Roman" w:hAnsi="Times New Roman" w:cs="Times New Roman"/>
          <w:sz w:val="28"/>
          <w:szCs w:val="28"/>
        </w:rPr>
        <w:t>.</w:t>
      </w:r>
      <w:bookmarkStart w:id="0" w:name="_GoBack"/>
      <w:bookmarkEnd w:id="0"/>
    </w:p>
    <w:p w:rsidR="001472DC" w:rsidRPr="001472DC" w:rsidRDefault="001472DC" w:rsidP="001472DC">
      <w:pPr>
        <w:jc w:val="both"/>
        <w:rPr>
          <w:rFonts w:ascii="Times New Roman" w:hAnsi="Times New Roman" w:cs="Times New Roman"/>
          <w:b/>
          <w:sz w:val="28"/>
          <w:szCs w:val="28"/>
        </w:rPr>
      </w:pPr>
      <w:proofErr w:type="gramStart"/>
      <w:r>
        <w:rPr>
          <w:rFonts w:ascii="Times New Roman" w:hAnsi="Times New Roman" w:cs="Times New Roman"/>
          <w:b/>
          <w:sz w:val="28"/>
          <w:szCs w:val="28"/>
        </w:rPr>
        <w:t>2.</w:t>
      </w:r>
      <w:r w:rsidRPr="001472DC">
        <w:rPr>
          <w:rFonts w:ascii="Times New Roman" w:hAnsi="Times New Roman" w:cs="Times New Roman"/>
          <w:b/>
          <w:sz w:val="28"/>
          <w:szCs w:val="28"/>
        </w:rPr>
        <w:t>Nghị</w:t>
      </w:r>
      <w:proofErr w:type="gramEnd"/>
      <w:r w:rsidRPr="001472DC">
        <w:rPr>
          <w:rFonts w:ascii="Times New Roman" w:hAnsi="Times New Roman" w:cs="Times New Roman"/>
          <w:b/>
          <w:sz w:val="28"/>
          <w:szCs w:val="28"/>
        </w:rPr>
        <w:t xml:space="preserve"> định số 83/2023/NĐ-CP có hiệu lực thi hành từ ngày 15/1/2024.</w:t>
      </w:r>
    </w:p>
    <w:p w:rsidR="001472DC" w:rsidRPr="001472DC" w:rsidRDefault="001472DC" w:rsidP="001472DC">
      <w:pPr>
        <w:jc w:val="both"/>
        <w:rPr>
          <w:rFonts w:ascii="Times New Roman" w:hAnsi="Times New Roman" w:cs="Times New Roman"/>
          <w:sz w:val="28"/>
          <w:szCs w:val="28"/>
        </w:rPr>
      </w:pPr>
      <w:r w:rsidRPr="001472DC">
        <w:rPr>
          <w:rFonts w:ascii="Times New Roman" w:hAnsi="Times New Roman" w:cs="Times New Roman"/>
          <w:sz w:val="28"/>
          <w:szCs w:val="28"/>
        </w:rPr>
        <w:t>Áp dụng chính sách mới nhất về đăng ký thường trú, tạm trú từ</w:t>
      </w:r>
      <w:r>
        <w:rPr>
          <w:rFonts w:ascii="Times New Roman" w:hAnsi="Times New Roman" w:cs="Times New Roman"/>
          <w:sz w:val="28"/>
          <w:szCs w:val="28"/>
        </w:rPr>
        <w:t xml:space="preserve"> 01/01/2024</w:t>
      </w:r>
    </w:p>
    <w:p w:rsidR="001472DC" w:rsidRPr="001472DC" w:rsidRDefault="001472DC" w:rsidP="001472DC">
      <w:pPr>
        <w:jc w:val="both"/>
        <w:rPr>
          <w:rFonts w:ascii="Times New Roman" w:hAnsi="Times New Roman" w:cs="Times New Roman"/>
          <w:sz w:val="28"/>
          <w:szCs w:val="28"/>
        </w:rPr>
      </w:pPr>
      <w:proofErr w:type="gramStart"/>
      <w:r w:rsidRPr="001472DC">
        <w:rPr>
          <w:rFonts w:ascii="Times New Roman" w:hAnsi="Times New Roman" w:cs="Times New Roman"/>
          <w:sz w:val="28"/>
          <w:szCs w:val="28"/>
        </w:rPr>
        <w:t>Thông tư 66/2023/TT-BCA có hiệu lực từ 01/01/2024 sửa đổi hồ sơ phải nộp khi giải quyết các thủ tục về cư trú, trong đó có đăng ký thường trú.</w:t>
      </w:r>
      <w:proofErr w:type="gramEnd"/>
      <w:r w:rsidRPr="001472DC">
        <w:rPr>
          <w:rFonts w:ascii="Times New Roman" w:hAnsi="Times New Roman" w:cs="Times New Roman"/>
          <w:sz w:val="28"/>
          <w:szCs w:val="28"/>
        </w:rPr>
        <w:t xml:space="preserve"> Với trường hợp tiếp nhận hồ sơ đăng ký trực tiếp, người dân có thể nộp bản sao giấy tờ được chứng thực từ bản chính hoặc được cấp từ sổ gốc hoặc bản chụp, bản quét kèm </w:t>
      </w:r>
      <w:proofErr w:type="gramStart"/>
      <w:r w:rsidRPr="001472DC">
        <w:rPr>
          <w:rFonts w:ascii="Times New Roman" w:hAnsi="Times New Roman" w:cs="Times New Roman"/>
          <w:sz w:val="28"/>
          <w:szCs w:val="28"/>
        </w:rPr>
        <w:t>theo</w:t>
      </w:r>
      <w:proofErr w:type="gramEnd"/>
      <w:r w:rsidRPr="001472DC">
        <w:rPr>
          <w:rFonts w:ascii="Times New Roman" w:hAnsi="Times New Roman" w:cs="Times New Roman"/>
          <w:sz w:val="28"/>
          <w:szCs w:val="28"/>
        </w:rPr>
        <w:t xml:space="preserve"> bản chính để đối chiế</w:t>
      </w:r>
      <w:r>
        <w:rPr>
          <w:rFonts w:ascii="Times New Roman" w:hAnsi="Times New Roman" w:cs="Times New Roman"/>
          <w:sz w:val="28"/>
          <w:szCs w:val="28"/>
        </w:rPr>
        <w:t>u.</w:t>
      </w:r>
    </w:p>
    <w:p w:rsidR="001472DC" w:rsidRPr="001472DC" w:rsidRDefault="001472DC" w:rsidP="001472DC">
      <w:pPr>
        <w:jc w:val="both"/>
        <w:rPr>
          <w:rFonts w:ascii="Times New Roman" w:hAnsi="Times New Roman" w:cs="Times New Roman"/>
          <w:sz w:val="28"/>
          <w:szCs w:val="28"/>
        </w:rPr>
      </w:pPr>
      <w:r w:rsidRPr="001472DC">
        <w:rPr>
          <w:rFonts w:ascii="Times New Roman" w:hAnsi="Times New Roman" w:cs="Times New Roman"/>
          <w:sz w:val="28"/>
          <w:szCs w:val="28"/>
        </w:rPr>
        <w:lastRenderedPageBreak/>
        <w:t>Ngoài ra, người dân có thể khai báo thông tin theo biểu mẫu điện tử được cung cấp sẵn, đăng tải bản quét/bản chụp giấy tờ hợp lệ (không yêu cầu công chứng/chứng thực)/dẫn nguồn tài liệu từ kho quản lý dữ liệu điện tử) và nộp lệ</w:t>
      </w:r>
      <w:r>
        <w:rPr>
          <w:rFonts w:ascii="Times New Roman" w:hAnsi="Times New Roman" w:cs="Times New Roman"/>
          <w:sz w:val="28"/>
          <w:szCs w:val="28"/>
        </w:rPr>
        <w:t xml:space="preserve"> phí.</w:t>
      </w:r>
    </w:p>
    <w:p w:rsidR="001472DC" w:rsidRPr="001472DC" w:rsidRDefault="001472DC" w:rsidP="001472DC">
      <w:pPr>
        <w:jc w:val="both"/>
        <w:rPr>
          <w:rFonts w:ascii="Times New Roman" w:hAnsi="Times New Roman" w:cs="Times New Roman"/>
          <w:sz w:val="28"/>
          <w:szCs w:val="28"/>
        </w:rPr>
      </w:pPr>
      <w:r w:rsidRPr="001472DC">
        <w:rPr>
          <w:rFonts w:ascii="Times New Roman" w:hAnsi="Times New Roman" w:cs="Times New Roman"/>
          <w:sz w:val="28"/>
          <w:szCs w:val="28"/>
        </w:rPr>
        <w:t xml:space="preserve">Theo quy định hiện hành, khi đăng ký cư trú online, người dân khai báo thông tin, đính kèm bản quét/bản chụp giấy tờ cần thiết. </w:t>
      </w:r>
      <w:proofErr w:type="gramStart"/>
      <w:r w:rsidRPr="001472DC">
        <w:rPr>
          <w:rFonts w:ascii="Times New Roman" w:hAnsi="Times New Roman" w:cs="Times New Roman"/>
          <w:sz w:val="28"/>
          <w:szCs w:val="28"/>
        </w:rPr>
        <w:t>Tuy nhiên, công dân phải xuất trình bản chính đã cung cấp khi người làm công tác đăng ký cư trú yêu cầu.</w:t>
      </w:r>
      <w:proofErr w:type="gramEnd"/>
      <w:r w:rsidRPr="001472DC">
        <w:rPr>
          <w:rFonts w:ascii="Times New Roman" w:hAnsi="Times New Roman" w:cs="Times New Roman"/>
          <w:sz w:val="28"/>
          <w:szCs w:val="28"/>
        </w:rPr>
        <w:t xml:space="preserve"> Ngoài ra, Thông tư 66 cũng đưa ra yêu cầu cụ thể với giấy tờ đính kèm khi đăng ký cư trú online, đó là bản quét/bản chụp giấy tờ được cấp hợp lệ, còn giá trị sử dụng bằng điện thoại, máy ảnh… phải rõ nét, đầy đủ, toàn vẹn về nội dung. Nếu là giấy tờ do cơ quan nước ngoài cấp thì phải được hợp pháp hóa lãnh sự, dịch sang tiếng Việt </w:t>
      </w:r>
      <w:proofErr w:type="gramStart"/>
      <w:r w:rsidRPr="001472DC">
        <w:rPr>
          <w:rFonts w:ascii="Times New Roman" w:hAnsi="Times New Roman" w:cs="Times New Roman"/>
          <w:sz w:val="28"/>
          <w:szCs w:val="28"/>
        </w:rPr>
        <w:t>theo</w:t>
      </w:r>
      <w:proofErr w:type="gramEnd"/>
      <w:r w:rsidRPr="001472DC">
        <w:rPr>
          <w:rFonts w:ascii="Times New Roman" w:hAnsi="Times New Roman" w:cs="Times New Roman"/>
          <w:sz w:val="28"/>
          <w:szCs w:val="28"/>
        </w:rPr>
        <w:t xml:space="preserve"> quy định trừ trường hợp được miễ</w:t>
      </w:r>
      <w:r>
        <w:rPr>
          <w:rFonts w:ascii="Times New Roman" w:hAnsi="Times New Roman" w:cs="Times New Roman"/>
          <w:sz w:val="28"/>
          <w:szCs w:val="28"/>
        </w:rPr>
        <w:t>n.</w:t>
      </w:r>
    </w:p>
    <w:p w:rsidR="001472DC" w:rsidRPr="001472DC" w:rsidRDefault="001472DC" w:rsidP="001472DC">
      <w:pPr>
        <w:jc w:val="both"/>
        <w:rPr>
          <w:rFonts w:ascii="Times New Roman" w:hAnsi="Times New Roman" w:cs="Times New Roman"/>
          <w:sz w:val="28"/>
          <w:szCs w:val="28"/>
        </w:rPr>
      </w:pPr>
      <w:proofErr w:type="gramStart"/>
      <w:r>
        <w:rPr>
          <w:rFonts w:ascii="Times New Roman" w:hAnsi="Times New Roman" w:cs="Times New Roman"/>
          <w:b/>
          <w:sz w:val="28"/>
          <w:szCs w:val="28"/>
        </w:rPr>
        <w:t>3.</w:t>
      </w:r>
      <w:r w:rsidRPr="001472DC">
        <w:rPr>
          <w:rFonts w:ascii="Times New Roman" w:hAnsi="Times New Roman" w:cs="Times New Roman"/>
          <w:b/>
          <w:sz w:val="28"/>
          <w:szCs w:val="28"/>
        </w:rPr>
        <w:t>Từ</w:t>
      </w:r>
      <w:proofErr w:type="gramEnd"/>
      <w:r w:rsidRPr="001472DC">
        <w:rPr>
          <w:rFonts w:ascii="Times New Roman" w:hAnsi="Times New Roman" w:cs="Times New Roman"/>
          <w:b/>
          <w:sz w:val="28"/>
          <w:szCs w:val="28"/>
        </w:rPr>
        <w:t xml:space="preserve"> 01/01/2024, thực hiện quy định mới về khám sức khỏe nghĩa vụ quân s</w:t>
      </w:r>
      <w:r w:rsidRPr="001472DC">
        <w:rPr>
          <w:rFonts w:ascii="Times New Roman" w:hAnsi="Times New Roman" w:cs="Times New Roman"/>
          <w:sz w:val="28"/>
          <w:szCs w:val="28"/>
        </w:rPr>
        <w:t>ự</w:t>
      </w:r>
    </w:p>
    <w:p w:rsidR="001472DC" w:rsidRPr="001472DC" w:rsidRDefault="001472DC" w:rsidP="001472DC">
      <w:pPr>
        <w:jc w:val="both"/>
        <w:rPr>
          <w:rFonts w:ascii="Times New Roman" w:hAnsi="Times New Roman" w:cs="Times New Roman"/>
          <w:sz w:val="28"/>
          <w:szCs w:val="28"/>
        </w:rPr>
      </w:pPr>
      <w:r w:rsidRPr="001472DC">
        <w:rPr>
          <w:rFonts w:ascii="Times New Roman" w:hAnsi="Times New Roman" w:cs="Times New Roman"/>
          <w:sz w:val="28"/>
          <w:szCs w:val="28"/>
        </w:rPr>
        <w:t>Ngày 06/12/2023, Bộ trưởng Bộ Quốc phòng ban hành Thông tư 105/2023/TT-BQP quy định tiêu chuẩn sức khỏe, khám sức khỏe cho các đối tượng thuộc phạm vi quản lý của Bộ Quố</w:t>
      </w:r>
      <w:r>
        <w:rPr>
          <w:rFonts w:ascii="Times New Roman" w:hAnsi="Times New Roman" w:cs="Times New Roman"/>
          <w:sz w:val="28"/>
          <w:szCs w:val="28"/>
        </w:rPr>
        <w:t>c phòng.</w:t>
      </w:r>
    </w:p>
    <w:p w:rsidR="001472DC" w:rsidRPr="001472DC" w:rsidRDefault="001472DC" w:rsidP="001472DC">
      <w:pPr>
        <w:jc w:val="both"/>
        <w:rPr>
          <w:rFonts w:ascii="Times New Roman" w:hAnsi="Times New Roman" w:cs="Times New Roman"/>
          <w:sz w:val="28"/>
          <w:szCs w:val="28"/>
        </w:rPr>
      </w:pPr>
      <w:r w:rsidRPr="001472DC">
        <w:rPr>
          <w:rFonts w:ascii="Times New Roman" w:hAnsi="Times New Roman" w:cs="Times New Roman"/>
          <w:sz w:val="28"/>
          <w:szCs w:val="28"/>
        </w:rPr>
        <w:t>Cụ thể, gồm: Tiêu chuẩn và phân loại khám sức khỏe; khám sức khỏe thực hiện nghĩa vụ quân sự; quản lý và kiểm tra sức khỏe quân nhân dự bị; khám sức khỏe tuyển sinh quân sự. Bên cạnh đó, khám sức khỏe tuyển dụng vào đội ngũ cán bộ; đào tạo sĩ quan dự bị gọi vào phục vụ tại ngũ; tuyển dụng quân nhân chuyên nghiệp, công nhân và viên chức quốc phòng; trách nhiệm của các cơ quan, tổ chức và cá nhân trong khám sức khỏe cho các đối tượng thuộc phạm vi quản lý của Bộ Quố</w:t>
      </w:r>
      <w:r>
        <w:rPr>
          <w:rFonts w:ascii="Times New Roman" w:hAnsi="Times New Roman" w:cs="Times New Roman"/>
          <w:sz w:val="28"/>
          <w:szCs w:val="28"/>
        </w:rPr>
        <w:t>c phòng.</w:t>
      </w:r>
    </w:p>
    <w:p w:rsidR="001472DC" w:rsidRPr="001472DC" w:rsidRDefault="001472DC" w:rsidP="001472DC">
      <w:pPr>
        <w:jc w:val="both"/>
        <w:rPr>
          <w:rFonts w:ascii="Times New Roman" w:hAnsi="Times New Roman" w:cs="Times New Roman"/>
          <w:sz w:val="28"/>
          <w:szCs w:val="28"/>
        </w:rPr>
      </w:pPr>
      <w:r w:rsidRPr="001472DC">
        <w:rPr>
          <w:rFonts w:ascii="Times New Roman" w:hAnsi="Times New Roman" w:cs="Times New Roman"/>
          <w:sz w:val="28"/>
          <w:szCs w:val="28"/>
        </w:rPr>
        <w:t>Căn cứ khoản 2 Điều 3 Thông tư 105/2023/TT-BQP, khám sức khỏe nghĩa vụ quân sự là việc thực hiện khám, phân loại, kết luận sức khỏe đối với công dân được gọi thực hiện nghĩa vụ quân sự do Hội đồng khám sức khỏe nghĩa vụ quân sự thực hiện sau khi sơ tuyển sức khỏ</w:t>
      </w:r>
      <w:r>
        <w:rPr>
          <w:rFonts w:ascii="Times New Roman" w:hAnsi="Times New Roman" w:cs="Times New Roman"/>
          <w:sz w:val="28"/>
          <w:szCs w:val="28"/>
        </w:rPr>
        <w:t>e.</w:t>
      </w:r>
    </w:p>
    <w:p w:rsidR="001472DC" w:rsidRPr="001472DC" w:rsidRDefault="001472DC" w:rsidP="001472DC">
      <w:pPr>
        <w:jc w:val="both"/>
        <w:rPr>
          <w:rFonts w:ascii="Times New Roman" w:hAnsi="Times New Roman" w:cs="Times New Roman"/>
          <w:sz w:val="28"/>
          <w:szCs w:val="28"/>
        </w:rPr>
      </w:pPr>
      <w:r w:rsidRPr="001472DC">
        <w:rPr>
          <w:rFonts w:ascii="Times New Roman" w:hAnsi="Times New Roman" w:cs="Times New Roman"/>
          <w:sz w:val="28"/>
          <w:szCs w:val="28"/>
        </w:rPr>
        <w:t xml:space="preserve">Về tiêu chuẩn sức khỏe thực hiện nghĩa vụ quân sự, Điều 4 Thông tư 105/2023/TT-BQP nêu rõ, tiêu chuẩn </w:t>
      </w:r>
      <w:proofErr w:type="gramStart"/>
      <w:r w:rsidRPr="001472DC">
        <w:rPr>
          <w:rFonts w:ascii="Times New Roman" w:hAnsi="Times New Roman" w:cs="Times New Roman"/>
          <w:sz w:val="28"/>
          <w:szCs w:val="28"/>
        </w:rPr>
        <w:t>chung</w:t>
      </w:r>
      <w:proofErr w:type="gramEnd"/>
      <w:r w:rsidRPr="001472DC">
        <w:rPr>
          <w:rFonts w:ascii="Times New Roman" w:hAnsi="Times New Roman" w:cs="Times New Roman"/>
          <w:sz w:val="28"/>
          <w:szCs w:val="28"/>
        </w:rPr>
        <w:t xml:space="preserve"> là phải đạt sức khỏe loại 1, loại 2, loại 3 theo quy định tại Điều 5, Điều 6 củ</w:t>
      </w:r>
      <w:r>
        <w:rPr>
          <w:rFonts w:ascii="Times New Roman" w:hAnsi="Times New Roman" w:cs="Times New Roman"/>
          <w:sz w:val="28"/>
          <w:szCs w:val="28"/>
        </w:rPr>
        <w:t>a Thông tư 105/2023/TT-BQP.</w:t>
      </w:r>
    </w:p>
    <w:p w:rsidR="001472DC" w:rsidRPr="001472DC" w:rsidRDefault="001472DC" w:rsidP="001472DC">
      <w:pPr>
        <w:jc w:val="both"/>
        <w:rPr>
          <w:rFonts w:ascii="Times New Roman" w:hAnsi="Times New Roman" w:cs="Times New Roman"/>
          <w:sz w:val="28"/>
          <w:szCs w:val="28"/>
        </w:rPr>
      </w:pPr>
      <w:r w:rsidRPr="001472DC">
        <w:rPr>
          <w:rFonts w:ascii="Times New Roman" w:hAnsi="Times New Roman" w:cs="Times New Roman"/>
          <w:sz w:val="28"/>
          <w:szCs w:val="28"/>
        </w:rPr>
        <w:t xml:space="preserve">Đặc biệt, </w:t>
      </w:r>
      <w:proofErr w:type="gramStart"/>
      <w:r w:rsidRPr="001472DC">
        <w:rPr>
          <w:rFonts w:ascii="Times New Roman" w:hAnsi="Times New Roman" w:cs="Times New Roman"/>
          <w:sz w:val="28"/>
          <w:szCs w:val="28"/>
        </w:rPr>
        <w:t>theo</w:t>
      </w:r>
      <w:proofErr w:type="gramEnd"/>
      <w:r w:rsidRPr="001472DC">
        <w:rPr>
          <w:rFonts w:ascii="Times New Roman" w:hAnsi="Times New Roman" w:cs="Times New Roman"/>
          <w:sz w:val="28"/>
          <w:szCs w:val="28"/>
        </w:rPr>
        <w:t xml:space="preserve"> Thông tư, không gọi nhập ngũ đối với công dân nghiện các chất ma túy, tiền chất ma túy được quy định tại Nghị định 57/2022/NĐ-CP quy định các </w:t>
      </w:r>
      <w:r w:rsidRPr="001472DC">
        <w:rPr>
          <w:rFonts w:ascii="Times New Roman" w:hAnsi="Times New Roman" w:cs="Times New Roman"/>
          <w:sz w:val="28"/>
          <w:szCs w:val="28"/>
        </w:rPr>
        <w:lastRenderedPageBreak/>
        <w:t>danh mục chất ma túy và tiền chất. Ngoài ra, công dân phải đáp ứng một số tiêu chuẩn sức khỏe riêng trong tuyển chọn thực hiện nghĩa vụ quân sự do Bộ trưởng Bộ Quốc phòng quy đị</w:t>
      </w:r>
      <w:r>
        <w:rPr>
          <w:rFonts w:ascii="Times New Roman" w:hAnsi="Times New Roman" w:cs="Times New Roman"/>
          <w:sz w:val="28"/>
          <w:szCs w:val="28"/>
        </w:rPr>
        <w:t>nh.</w:t>
      </w:r>
    </w:p>
    <w:p w:rsidR="001472DC" w:rsidRPr="001472DC" w:rsidRDefault="001472DC" w:rsidP="001472DC">
      <w:pPr>
        <w:jc w:val="both"/>
        <w:rPr>
          <w:rFonts w:ascii="Times New Roman" w:hAnsi="Times New Roman" w:cs="Times New Roman"/>
          <w:sz w:val="28"/>
          <w:szCs w:val="28"/>
        </w:rPr>
      </w:pPr>
      <w:r w:rsidRPr="001472DC">
        <w:rPr>
          <w:rFonts w:ascii="Times New Roman" w:hAnsi="Times New Roman" w:cs="Times New Roman"/>
          <w:sz w:val="28"/>
          <w:szCs w:val="28"/>
        </w:rPr>
        <w:t xml:space="preserve">Việc sơ tuyển sức khỏe, khám sức khỏe, khám phúc tra sức khỏe và giám định sức khỏe sau 01/01/2024 thực hiện </w:t>
      </w:r>
      <w:proofErr w:type="gramStart"/>
      <w:r w:rsidRPr="001472DC">
        <w:rPr>
          <w:rFonts w:ascii="Times New Roman" w:hAnsi="Times New Roman" w:cs="Times New Roman"/>
          <w:sz w:val="28"/>
          <w:szCs w:val="28"/>
        </w:rPr>
        <w:t>theo</w:t>
      </w:r>
      <w:proofErr w:type="gramEnd"/>
      <w:r w:rsidRPr="001472DC">
        <w:rPr>
          <w:rFonts w:ascii="Times New Roman" w:hAnsi="Times New Roman" w:cs="Times New Roman"/>
          <w:sz w:val="28"/>
          <w:szCs w:val="28"/>
        </w:rPr>
        <w:t xml:space="preserve"> quy định tạ</w:t>
      </w:r>
      <w:r>
        <w:rPr>
          <w:rFonts w:ascii="Times New Roman" w:hAnsi="Times New Roman" w:cs="Times New Roman"/>
          <w:sz w:val="28"/>
          <w:szCs w:val="28"/>
        </w:rPr>
        <w:t>i Thông tư 105/2023/TT-BQP.</w:t>
      </w:r>
    </w:p>
    <w:p w:rsidR="001472DC" w:rsidRPr="001472DC" w:rsidRDefault="001472DC" w:rsidP="001472DC">
      <w:pPr>
        <w:jc w:val="both"/>
        <w:rPr>
          <w:rFonts w:ascii="Times New Roman" w:hAnsi="Times New Roman" w:cs="Times New Roman"/>
          <w:b/>
          <w:sz w:val="28"/>
          <w:szCs w:val="28"/>
        </w:rPr>
      </w:pPr>
      <w:proofErr w:type="gramStart"/>
      <w:r>
        <w:rPr>
          <w:rFonts w:ascii="Times New Roman" w:hAnsi="Times New Roman" w:cs="Times New Roman"/>
          <w:b/>
          <w:sz w:val="28"/>
          <w:szCs w:val="28"/>
        </w:rPr>
        <w:t>4.</w:t>
      </w:r>
      <w:r w:rsidRPr="001472DC">
        <w:rPr>
          <w:rFonts w:ascii="Times New Roman" w:hAnsi="Times New Roman" w:cs="Times New Roman"/>
          <w:b/>
          <w:sz w:val="28"/>
          <w:szCs w:val="28"/>
        </w:rPr>
        <w:t>Chỉ</w:t>
      </w:r>
      <w:proofErr w:type="gramEnd"/>
      <w:r w:rsidRPr="001472DC">
        <w:rPr>
          <w:rFonts w:ascii="Times New Roman" w:hAnsi="Times New Roman" w:cs="Times New Roman"/>
          <w:b/>
          <w:sz w:val="28"/>
          <w:szCs w:val="28"/>
        </w:rPr>
        <w:t xml:space="preserve"> tuyển lao động nước ngoài khi không tuyển được lao động Việ</w:t>
      </w:r>
      <w:r>
        <w:rPr>
          <w:rFonts w:ascii="Times New Roman" w:hAnsi="Times New Roman" w:cs="Times New Roman"/>
          <w:b/>
          <w:sz w:val="28"/>
          <w:szCs w:val="28"/>
        </w:rPr>
        <w:t>t Nam</w:t>
      </w:r>
    </w:p>
    <w:p w:rsidR="001472DC" w:rsidRPr="001472DC" w:rsidRDefault="001472DC" w:rsidP="001472DC">
      <w:pPr>
        <w:jc w:val="both"/>
        <w:rPr>
          <w:rFonts w:ascii="Times New Roman" w:hAnsi="Times New Roman" w:cs="Times New Roman"/>
          <w:sz w:val="28"/>
          <w:szCs w:val="28"/>
        </w:rPr>
      </w:pPr>
      <w:r w:rsidRPr="001472DC">
        <w:rPr>
          <w:rFonts w:ascii="Times New Roman" w:hAnsi="Times New Roman" w:cs="Times New Roman"/>
          <w:sz w:val="28"/>
          <w:szCs w:val="28"/>
        </w:rPr>
        <w:t>Chính phủ ban hành Nghị định số 70/2023/NĐ-CP sửa đổi, bổ sung một số điều của Nghị định số 152/2020/NĐ-CP ngày 30/12/2020 của Chính phủ quy định về người lao động nước ngoài làm việc tại Việt Nam và tuyển dụng, quản lý người lao động Việt Nam làm việc cho tổ chức, cá nhân nước ngoài tại Việt Nam. Nghị định mới ban hành sửa đổi 14 nội dung của Nghị định số152/2020/NĐ-CP ngày 30/12/2020 của Chính phủ quy định về người lao động nước ngoài làm việc tại Việt Nam và tuyển dụng, quản lý người lao động Việt Nam làm việc cho tổ chức, cá nhân nước ngoài tại Việ</w:t>
      </w:r>
      <w:r>
        <w:rPr>
          <w:rFonts w:ascii="Times New Roman" w:hAnsi="Times New Roman" w:cs="Times New Roman"/>
          <w:sz w:val="28"/>
          <w:szCs w:val="28"/>
        </w:rPr>
        <w:t>t Nam.</w:t>
      </w:r>
    </w:p>
    <w:p w:rsidR="001472DC" w:rsidRPr="001472DC" w:rsidRDefault="001472DC" w:rsidP="001472DC">
      <w:pPr>
        <w:jc w:val="both"/>
        <w:rPr>
          <w:rFonts w:ascii="Times New Roman" w:hAnsi="Times New Roman" w:cs="Times New Roman"/>
          <w:sz w:val="28"/>
          <w:szCs w:val="28"/>
        </w:rPr>
      </w:pPr>
      <w:proofErr w:type="gramStart"/>
      <w:r w:rsidRPr="001472DC">
        <w:rPr>
          <w:rFonts w:ascii="Times New Roman" w:hAnsi="Times New Roman" w:cs="Times New Roman"/>
          <w:sz w:val="28"/>
          <w:szCs w:val="28"/>
        </w:rPr>
        <w:t>Đáng chú ý, tại khoản 2 Điều 1 Nghị định nêu rõ, từ ngày 01/01/2024 "sau khi không tuyển được người lao động Việt Nam vào các vị trí tuyển dụng người lao động nước ngoài, người sử dụng lao động có trách nhiệm xác định nhu cầu sử dụng người lao động nướ</w:t>
      </w:r>
      <w:r>
        <w:rPr>
          <w:rFonts w:ascii="Times New Roman" w:hAnsi="Times New Roman" w:cs="Times New Roman"/>
          <w:sz w:val="28"/>
          <w:szCs w:val="28"/>
        </w:rPr>
        <w:t>c ngoài".</w:t>
      </w:r>
      <w:proofErr w:type="gramEnd"/>
    </w:p>
    <w:p w:rsidR="00200C2B" w:rsidRPr="001472DC" w:rsidRDefault="001472DC" w:rsidP="001472DC">
      <w:pPr>
        <w:jc w:val="both"/>
        <w:rPr>
          <w:rFonts w:ascii="Times New Roman" w:hAnsi="Times New Roman" w:cs="Times New Roman"/>
          <w:sz w:val="28"/>
          <w:szCs w:val="28"/>
        </w:rPr>
      </w:pPr>
      <w:r w:rsidRPr="001472DC">
        <w:rPr>
          <w:rFonts w:ascii="Times New Roman" w:hAnsi="Times New Roman" w:cs="Times New Roman"/>
          <w:sz w:val="28"/>
          <w:szCs w:val="28"/>
        </w:rPr>
        <w:t>Việc thông báo tuyển dụng người lao động Việt Nam vào các vị trí dự kiến tuyển dụng người lao động nước ngoài được thực hiện trên Cổng thông tin điện tử của Bộ Lao động - Thương binh và Xã hội (Cục Việc làm) hoặc Cổng thông tin điện tử của Trung tâm dịch vụ việc làm do Chủ tịch Ủy ban nhân dân tỉnh, thành phố trực thuộc trung ương quyết định thành lập.</w:t>
      </w:r>
    </w:p>
    <w:sectPr w:rsidR="00200C2B" w:rsidRPr="00147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2DC"/>
    <w:rsid w:val="001472DC"/>
    <w:rsid w:val="00200C2B"/>
    <w:rsid w:val="00AE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hoangtien</dc:creator>
  <cp:lastModifiedBy>hoangtien</cp:lastModifiedBy>
  <cp:revision>2</cp:revision>
  <dcterms:created xsi:type="dcterms:W3CDTF">2024-01-03T10:00:00Z</dcterms:created>
  <dcterms:modified xsi:type="dcterms:W3CDTF">2024-01-03T10:02:00Z</dcterms:modified>
</cp:coreProperties>
</file>